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5104F1" w14:textId="77777777" w:rsidR="002E307E" w:rsidRPr="002E307E" w:rsidRDefault="002E307E" w:rsidP="002E307E">
      <w:pPr>
        <w:pBdr>
          <w:top w:val="single" w:sz="48" w:space="0" w:color="003057"/>
        </w:pBdr>
        <w:shd w:val="clear" w:color="auto" w:fill="E1EAF0"/>
        <w:spacing w:before="100" w:beforeAutospacing="1" w:after="100" w:afterAutospacing="1" w:line="240" w:lineRule="auto"/>
        <w:jc w:val="center"/>
        <w:outlineLvl w:val="1"/>
        <w:rPr>
          <w:rFonts w:ascii="Times New Roman" w:eastAsia="Times New Roman" w:hAnsi="Times New Roman" w:cs="Times New Roman"/>
          <w:b/>
          <w:bCs/>
          <w:color w:val="FFFFFF"/>
          <w:kern w:val="0"/>
          <w:sz w:val="36"/>
          <w:szCs w:val="36"/>
          <w14:ligatures w14:val="none"/>
        </w:rPr>
      </w:pPr>
      <w:r w:rsidRPr="002E307E">
        <w:rPr>
          <w:rFonts w:ascii="Times New Roman" w:eastAsia="Times New Roman" w:hAnsi="Times New Roman" w:cs="Times New Roman"/>
          <w:b/>
          <w:bCs/>
          <w:color w:val="000000"/>
          <w:kern w:val="0"/>
          <w:sz w:val="36"/>
          <w:szCs w:val="36"/>
          <w14:ligatures w14:val="none"/>
        </w:rPr>
        <w:t>[CS495/595] Syllabus</w:t>
      </w:r>
    </w:p>
    <w:p w14:paraId="10375224" w14:textId="0149D1F9"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xml:space="preserve">CS495/595: TPCS:ML OPS FOR GENERATIVE AI - </w:t>
      </w:r>
      <w:r w:rsidR="008233D3">
        <w:rPr>
          <w:rFonts w:ascii="Times New Roman" w:eastAsia="Times New Roman" w:hAnsi="Times New Roman" w:cs="Times New Roman"/>
          <w:b/>
          <w:bCs/>
          <w:color w:val="000000"/>
          <w:kern w:val="0"/>
          <w14:ligatures w14:val="none"/>
        </w:rPr>
        <w:t>FALL</w:t>
      </w:r>
      <w:r w:rsidRPr="002E307E">
        <w:rPr>
          <w:rFonts w:ascii="Times New Roman" w:eastAsia="Times New Roman" w:hAnsi="Times New Roman" w:cs="Times New Roman"/>
          <w:b/>
          <w:bCs/>
          <w:color w:val="000000"/>
          <w:kern w:val="0"/>
          <w14:ligatures w14:val="none"/>
        </w:rPr>
        <w:t xml:space="preserve"> 2026</w:t>
      </w:r>
    </w:p>
    <w:p w14:paraId="3556F89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5"/>
        <w:gridCol w:w="4685"/>
      </w:tblGrid>
      <w:tr w:rsidR="002E307E" w:rsidRPr="002E307E" w14:paraId="6E8CB3FC" w14:textId="77777777">
        <w:trPr>
          <w:tblCellSpacing w:w="15" w:type="dxa"/>
        </w:trPr>
        <w:tc>
          <w:tcPr>
            <w:tcW w:w="4680" w:type="dxa"/>
            <w:vAlign w:val="center"/>
            <w:hideMark/>
          </w:tcPr>
          <w:p w14:paraId="648B4D3C"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Term</w:t>
            </w:r>
          </w:p>
        </w:tc>
        <w:tc>
          <w:tcPr>
            <w:tcW w:w="4680" w:type="dxa"/>
            <w:vAlign w:val="center"/>
            <w:hideMark/>
          </w:tcPr>
          <w:p w14:paraId="4F1EE038"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FALL 2026</w:t>
            </w:r>
          </w:p>
        </w:tc>
      </w:tr>
      <w:tr w:rsidR="002E307E" w:rsidRPr="002E307E" w14:paraId="2F001565" w14:textId="77777777">
        <w:trPr>
          <w:tblCellSpacing w:w="15" w:type="dxa"/>
        </w:trPr>
        <w:tc>
          <w:tcPr>
            <w:tcW w:w="4680" w:type="dxa"/>
            <w:vAlign w:val="center"/>
            <w:hideMark/>
          </w:tcPr>
          <w:p w14:paraId="26E1BD1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Instructor</w:t>
            </w:r>
          </w:p>
        </w:tc>
        <w:tc>
          <w:tcPr>
            <w:tcW w:w="4680" w:type="dxa"/>
            <w:vAlign w:val="center"/>
            <w:hideMark/>
          </w:tcPr>
          <w:p w14:paraId="3D20D109"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Dr. Santosh Kumar Nukavarapu</w:t>
            </w:r>
          </w:p>
        </w:tc>
      </w:tr>
      <w:tr w:rsidR="002E307E" w:rsidRPr="002E307E" w14:paraId="49B6EF27" w14:textId="77777777">
        <w:trPr>
          <w:tblCellSpacing w:w="15" w:type="dxa"/>
        </w:trPr>
        <w:tc>
          <w:tcPr>
            <w:tcW w:w="4680" w:type="dxa"/>
            <w:vAlign w:val="center"/>
            <w:hideMark/>
          </w:tcPr>
          <w:p w14:paraId="31419657"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Office</w:t>
            </w:r>
          </w:p>
        </w:tc>
        <w:tc>
          <w:tcPr>
            <w:tcW w:w="4680" w:type="dxa"/>
            <w:vAlign w:val="center"/>
            <w:hideMark/>
          </w:tcPr>
          <w:p w14:paraId="3C31487E" w14:textId="77777777" w:rsidR="002E307E" w:rsidRPr="002E307E" w:rsidRDefault="002E307E" w:rsidP="002E307E">
            <w:pPr>
              <w:spacing w:before="100" w:beforeAutospacing="1" w:after="240"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Monarch hall - 2115A</w:t>
            </w:r>
          </w:p>
        </w:tc>
      </w:tr>
      <w:tr w:rsidR="002E307E" w:rsidRPr="002E307E" w14:paraId="1AE194E5" w14:textId="77777777">
        <w:trPr>
          <w:tblCellSpacing w:w="15" w:type="dxa"/>
        </w:trPr>
        <w:tc>
          <w:tcPr>
            <w:tcW w:w="4680" w:type="dxa"/>
            <w:vAlign w:val="center"/>
            <w:hideMark/>
          </w:tcPr>
          <w:p w14:paraId="0A017BCB"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Email</w:t>
            </w:r>
          </w:p>
        </w:tc>
        <w:tc>
          <w:tcPr>
            <w:tcW w:w="4680" w:type="dxa"/>
            <w:vAlign w:val="center"/>
            <w:hideMark/>
          </w:tcPr>
          <w:p w14:paraId="75F6DF4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hyperlink r:id="rId5" w:history="1">
              <w:r w:rsidRPr="002E307E">
                <w:rPr>
                  <w:rFonts w:ascii="Times New Roman" w:eastAsia="Times New Roman" w:hAnsi="Times New Roman" w:cs="Times New Roman"/>
                  <w:color w:val="0000FF"/>
                  <w:kern w:val="0"/>
                  <w:u w:val="single"/>
                  <w14:ligatures w14:val="none"/>
                </w:rPr>
                <w:t>snukavar@odu.edu</w:t>
              </w:r>
            </w:hyperlink>
          </w:p>
        </w:tc>
      </w:tr>
      <w:tr w:rsidR="002E307E" w:rsidRPr="002E307E" w14:paraId="5EAB6A5D" w14:textId="77777777">
        <w:trPr>
          <w:tblCellSpacing w:w="15" w:type="dxa"/>
        </w:trPr>
        <w:tc>
          <w:tcPr>
            <w:tcW w:w="4680" w:type="dxa"/>
            <w:vAlign w:val="center"/>
            <w:hideMark/>
          </w:tcPr>
          <w:p w14:paraId="5B19DBB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Phone</w:t>
            </w:r>
          </w:p>
        </w:tc>
        <w:tc>
          <w:tcPr>
            <w:tcW w:w="4680" w:type="dxa"/>
            <w:vAlign w:val="center"/>
            <w:hideMark/>
          </w:tcPr>
          <w:p w14:paraId="0A0E38F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(757) 683-7759</w:t>
            </w:r>
          </w:p>
        </w:tc>
      </w:tr>
      <w:tr w:rsidR="002E307E" w:rsidRPr="002E307E" w14:paraId="4848B1A0" w14:textId="77777777">
        <w:trPr>
          <w:tblCellSpacing w:w="15" w:type="dxa"/>
        </w:trPr>
        <w:tc>
          <w:tcPr>
            <w:tcW w:w="4680" w:type="dxa"/>
            <w:vAlign w:val="center"/>
            <w:hideMark/>
          </w:tcPr>
          <w:p w14:paraId="711C527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Office Hours</w:t>
            </w:r>
          </w:p>
        </w:tc>
        <w:tc>
          <w:tcPr>
            <w:tcW w:w="4680" w:type="dxa"/>
            <w:vAlign w:val="center"/>
            <w:hideMark/>
          </w:tcPr>
          <w:p w14:paraId="66939F07" w14:textId="38C8D504"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 xml:space="preserve">Thursday: </w:t>
            </w:r>
            <w:r w:rsidR="00220493">
              <w:rPr>
                <w:rFonts w:ascii="Times New Roman" w:eastAsia="Times New Roman" w:hAnsi="Times New Roman" w:cs="Times New Roman"/>
                <w:color w:val="000000"/>
                <w:kern w:val="0"/>
                <w14:ligatures w14:val="none"/>
              </w:rPr>
              <w:t>1</w:t>
            </w:r>
            <w:r w:rsidRPr="002E307E">
              <w:rPr>
                <w:rFonts w:ascii="Times New Roman" w:eastAsia="Times New Roman" w:hAnsi="Times New Roman" w:cs="Times New Roman"/>
                <w:color w:val="000000"/>
                <w:kern w:val="0"/>
                <w14:ligatures w14:val="none"/>
              </w:rPr>
              <w:t>:30 -</w:t>
            </w:r>
            <w:r w:rsidR="00220493">
              <w:rPr>
                <w:rFonts w:ascii="Times New Roman" w:eastAsia="Times New Roman" w:hAnsi="Times New Roman" w:cs="Times New Roman"/>
                <w:color w:val="000000"/>
                <w:kern w:val="0"/>
                <w14:ligatures w14:val="none"/>
              </w:rPr>
              <w:t>2</w:t>
            </w:r>
            <w:r w:rsidRPr="002E307E">
              <w:rPr>
                <w:rFonts w:ascii="Times New Roman" w:eastAsia="Times New Roman" w:hAnsi="Times New Roman" w:cs="Times New Roman"/>
                <w:color w:val="000000"/>
                <w:kern w:val="0"/>
                <w14:ligatures w14:val="none"/>
              </w:rPr>
              <w:t>:30 pm</w:t>
            </w:r>
          </w:p>
        </w:tc>
      </w:tr>
      <w:tr w:rsidR="002E307E" w:rsidRPr="002E307E" w14:paraId="227D90D2" w14:textId="77777777">
        <w:trPr>
          <w:tblCellSpacing w:w="15" w:type="dxa"/>
        </w:trPr>
        <w:tc>
          <w:tcPr>
            <w:tcW w:w="4680" w:type="dxa"/>
            <w:vAlign w:val="center"/>
            <w:hideMark/>
          </w:tcPr>
          <w:p w14:paraId="27D3180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Course Time</w:t>
            </w:r>
          </w:p>
        </w:tc>
        <w:tc>
          <w:tcPr>
            <w:tcW w:w="4680" w:type="dxa"/>
            <w:vAlign w:val="center"/>
            <w:hideMark/>
          </w:tcPr>
          <w:p w14:paraId="684E64CA"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Tuesday, in-person, 430- 710PM, MHALL 2113</w:t>
            </w:r>
          </w:p>
        </w:tc>
      </w:tr>
      <w:tr w:rsidR="002E307E" w:rsidRPr="002E307E" w14:paraId="3F5FC3CE" w14:textId="77777777">
        <w:trPr>
          <w:tblCellSpacing w:w="15" w:type="dxa"/>
        </w:trPr>
        <w:tc>
          <w:tcPr>
            <w:tcW w:w="4680" w:type="dxa"/>
            <w:vAlign w:val="center"/>
            <w:hideMark/>
          </w:tcPr>
          <w:p w14:paraId="4629904C"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Attendance</w:t>
            </w:r>
          </w:p>
        </w:tc>
        <w:tc>
          <w:tcPr>
            <w:tcW w:w="4680" w:type="dxa"/>
            <w:vAlign w:val="center"/>
            <w:hideMark/>
          </w:tcPr>
          <w:p w14:paraId="43917C7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Not Mandatory</w:t>
            </w:r>
          </w:p>
        </w:tc>
      </w:tr>
      <w:tr w:rsidR="002E307E" w:rsidRPr="002E307E" w14:paraId="295315D3" w14:textId="77777777">
        <w:trPr>
          <w:tblCellSpacing w:w="15" w:type="dxa"/>
        </w:trPr>
        <w:tc>
          <w:tcPr>
            <w:tcW w:w="4680" w:type="dxa"/>
            <w:vAlign w:val="center"/>
            <w:hideMark/>
          </w:tcPr>
          <w:p w14:paraId="57E79DFC"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Pre-requisites</w:t>
            </w:r>
          </w:p>
        </w:tc>
        <w:tc>
          <w:tcPr>
            <w:tcW w:w="4680" w:type="dxa"/>
            <w:vAlign w:val="center"/>
            <w:hideMark/>
          </w:tcPr>
          <w:p w14:paraId="6BA4B8D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Knowledge of Python Programming.</w:t>
            </w:r>
          </w:p>
        </w:tc>
      </w:tr>
    </w:tbl>
    <w:p w14:paraId="737908B4"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w:t>
      </w:r>
    </w:p>
    <w:p w14:paraId="054FE56B"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Course Description:</w:t>
      </w:r>
    </w:p>
    <w:p w14:paraId="6520EF4B" w14:textId="77777777" w:rsidR="002E307E" w:rsidRPr="002E307E" w:rsidRDefault="002E307E" w:rsidP="008233D3">
      <w:pPr>
        <w:spacing w:before="100" w:beforeAutospacing="1" w:after="100" w:afterAutospacing="1" w:line="240" w:lineRule="auto"/>
        <w:jc w:val="both"/>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This course offers a beginner-friendly introduction to MLOps (Machine Learning Operations) concepts specifically designed for Generative AI systems. Students will investigate how to improve the deployment, monitoring, and maintenance of generative AI models in real-world scenarios. The course addresses important topics like as version control, CI/CD pipelines, model repeatability, scalability, and ethical considerations in the context of generative AI workflows. Students will obtain the essential skills required to bridge the gap between generating generative AI models and efficiently operating them in production scenarios through hands-on exercises and basic tools.</w:t>
      </w:r>
    </w:p>
    <w:p w14:paraId="3B88FDA4"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 </w:t>
      </w:r>
    </w:p>
    <w:p w14:paraId="11775DEA"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Course Objectives:</w:t>
      </w:r>
    </w:p>
    <w:p w14:paraId="2B5A8B9D" w14:textId="77777777" w:rsidR="002E307E" w:rsidRPr="002E307E" w:rsidRDefault="002E307E" w:rsidP="002E307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Students will gain hands-on experience with key MLOps tools and practices.</w:t>
      </w:r>
    </w:p>
    <w:p w14:paraId="4BAAC2F4" w14:textId="77777777" w:rsidR="002E307E" w:rsidRPr="002E307E" w:rsidRDefault="002E307E" w:rsidP="002E307E">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They will learn to integrate MLOps workflows with generative AI, from development to deployment and scaling.</w:t>
      </w:r>
    </w:p>
    <w:p w14:paraId="7105D7F7"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Course Delivery Method: </w:t>
      </w:r>
    </w:p>
    <w:p w14:paraId="083B09F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This course will in-person.</w:t>
      </w:r>
    </w:p>
    <w:p w14:paraId="5BF9ACC8"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lastRenderedPageBreak/>
        <w:t> </w:t>
      </w:r>
    </w:p>
    <w:p w14:paraId="14665804"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sz w:val="36"/>
          <w:szCs w:val="36"/>
          <w14:ligatures w14:val="none"/>
        </w:rPr>
        <w:t>Course Structure and Topics</w:t>
      </w:r>
    </w:p>
    <w:p w14:paraId="354B3F63"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#1 – Introduction to Generative AI</w:t>
      </w:r>
    </w:p>
    <w:p w14:paraId="22CB79B4" w14:textId="77777777" w:rsidR="002E307E" w:rsidRPr="002E307E" w:rsidRDefault="002E307E" w:rsidP="002E307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Introduction to Generative AI</w:t>
      </w:r>
    </w:p>
    <w:p w14:paraId="7308C5D4" w14:textId="77777777" w:rsidR="002E307E" w:rsidRPr="002E307E" w:rsidRDefault="002E307E" w:rsidP="002E307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Historical evolution of GenAI</w:t>
      </w:r>
    </w:p>
    <w:p w14:paraId="329A553F" w14:textId="77777777" w:rsidR="002E307E" w:rsidRPr="002E307E" w:rsidRDefault="002E307E" w:rsidP="002E307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Current landscape and future directions</w:t>
      </w:r>
    </w:p>
    <w:p w14:paraId="65C515B2" w14:textId="77777777" w:rsidR="002E307E" w:rsidRPr="002E307E" w:rsidRDefault="002E307E" w:rsidP="002E307E">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Overview of GenAI use cases (text, vision, multimodal, agents)</w:t>
      </w:r>
    </w:p>
    <w:p w14:paraId="54DE3643"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70E0F7A6">
          <v:rect id="Horizontal Line 1" o:spid="_x0000_s103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BD4980E"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#2 – Foundations of NLP</w:t>
      </w:r>
    </w:p>
    <w:p w14:paraId="55DA4A9E" w14:textId="77777777" w:rsidR="002E307E" w:rsidRPr="002E307E" w:rsidRDefault="002E307E" w:rsidP="002E307E">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Natural Language Processing fundamentals</w:t>
      </w:r>
    </w:p>
    <w:p w14:paraId="326D8111" w14:textId="77777777" w:rsidR="002E307E" w:rsidRPr="002E307E" w:rsidRDefault="002E307E" w:rsidP="002E307E">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Tokens and tokenization strategies</w:t>
      </w:r>
    </w:p>
    <w:p w14:paraId="2DFD31B5" w14:textId="77777777" w:rsidR="002E307E" w:rsidRPr="002E307E" w:rsidRDefault="002E307E" w:rsidP="002E307E">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Word embeddings (Word2Vec, GloVe, contextual embeddings)</w:t>
      </w:r>
    </w:p>
    <w:p w14:paraId="6568BFFF"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449736D1">
          <v:rect id="Horizontal Line 2" o:spid="_x0000_s1035"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E9A9245"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#3– Language Models &amp; Attention</w:t>
      </w:r>
    </w:p>
    <w:p w14:paraId="0AEA4BD8" w14:textId="77777777" w:rsidR="002E307E" w:rsidRPr="002E307E" w:rsidRDefault="002E307E" w:rsidP="002E307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Language modeling fundamentals</w:t>
      </w:r>
    </w:p>
    <w:p w14:paraId="596C4ACD" w14:textId="77777777" w:rsidR="002E307E" w:rsidRPr="002E307E" w:rsidRDefault="002E307E" w:rsidP="002E307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Attention mechanisms</w:t>
      </w:r>
    </w:p>
    <w:p w14:paraId="2A7E7031" w14:textId="77777777" w:rsidR="002E307E" w:rsidRPr="002E307E" w:rsidRDefault="002E307E" w:rsidP="002E307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Transformer architecture</w:t>
      </w:r>
    </w:p>
    <w:p w14:paraId="4FA2D9D9" w14:textId="77777777" w:rsidR="002E307E" w:rsidRPr="002E307E" w:rsidRDefault="002E307E" w:rsidP="002E307E">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Autoregressive training of Transformer-based LLMs</w:t>
      </w:r>
    </w:p>
    <w:p w14:paraId="358C2FB3"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2E3ED841">
          <v:rect id="Horizontal Line 3" o:spid="_x0000_s1034"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E0EC602"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#4– LLM Architecture &amp; Scaling</w:t>
      </w:r>
    </w:p>
    <w:p w14:paraId="77CF2EB6" w14:textId="77777777" w:rsidR="002E307E" w:rsidRPr="002E307E" w:rsidRDefault="002E307E" w:rsidP="002E307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LLM architecture variants (Decoder-only, Encoder-Decoder, MoE)</w:t>
      </w:r>
    </w:p>
    <w:p w14:paraId="62400336" w14:textId="77777777" w:rsidR="002E307E" w:rsidRPr="002E307E" w:rsidRDefault="002E307E" w:rsidP="002E307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Scaling laws in training LLMs</w:t>
      </w:r>
    </w:p>
    <w:p w14:paraId="4CC81BA3" w14:textId="77777777" w:rsidR="002E307E" w:rsidRPr="002E307E" w:rsidRDefault="002E307E" w:rsidP="002E307E">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Training data considerations for large-scale models</w:t>
      </w:r>
    </w:p>
    <w:p w14:paraId="33D92112"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69E73D5F">
          <v:rect id="Horizontal Line 4" o:spid="_x0000_s1033"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BD675C0"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#5– Image Generation &amp; Diffusion Models</w:t>
      </w:r>
    </w:p>
    <w:p w14:paraId="5D7001CB" w14:textId="77777777" w:rsidR="002E307E" w:rsidRPr="002E307E" w:rsidRDefault="002E307E" w:rsidP="002E307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Image generation overview</w:t>
      </w:r>
    </w:p>
    <w:p w14:paraId="2D01A7AF" w14:textId="77777777" w:rsidR="002E307E" w:rsidRPr="002E307E" w:rsidRDefault="002E307E" w:rsidP="002E307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GANs (brief, conceptual)</w:t>
      </w:r>
    </w:p>
    <w:p w14:paraId="338A9D5F" w14:textId="77777777" w:rsidR="002E307E" w:rsidRPr="002E307E" w:rsidRDefault="002E307E" w:rsidP="002E307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CLIP</w:t>
      </w:r>
    </w:p>
    <w:p w14:paraId="67C41336" w14:textId="77777777" w:rsidR="002E307E" w:rsidRPr="002E307E" w:rsidRDefault="002E307E" w:rsidP="002E307E">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Latent Diffusion Models (Stable Diffusion family)</w:t>
      </w:r>
    </w:p>
    <w:p w14:paraId="6821E651"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4B849E45">
          <v:rect id="Horizontal Line 5" o:spid="_x0000_s1032"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78D9A3F"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lastRenderedPageBreak/>
        <w:t>Module #6– Multimodal Foundation Models</w:t>
      </w:r>
    </w:p>
    <w:p w14:paraId="0E636783" w14:textId="77777777" w:rsidR="002E307E" w:rsidRPr="002E307E" w:rsidRDefault="002E307E" w:rsidP="002E307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Introduction to multimodal models</w:t>
      </w:r>
    </w:p>
    <w:p w14:paraId="1686D366" w14:textId="77777777" w:rsidR="002E307E" w:rsidRPr="002E307E" w:rsidRDefault="002E307E" w:rsidP="002E307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Vision Transformers</w:t>
      </w:r>
    </w:p>
    <w:p w14:paraId="4D68BC7B" w14:textId="77777777" w:rsidR="002E307E" w:rsidRPr="002E307E" w:rsidRDefault="002E307E" w:rsidP="002E307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CLIP in depth</w:t>
      </w:r>
    </w:p>
    <w:p w14:paraId="46139F03" w14:textId="77777777" w:rsidR="002E307E" w:rsidRPr="002E307E" w:rsidRDefault="002E307E" w:rsidP="002E307E">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Perceiver IO and generalized multimodal architectures</w:t>
      </w:r>
    </w:p>
    <w:p w14:paraId="79C8183E"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7D65537E">
          <v:rect id="Horizontal Line 6" o:spid="_x0000_s1031"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C5700C8"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#7 – Training &amp; Alignment of LLMs</w:t>
      </w:r>
    </w:p>
    <w:p w14:paraId="00C5AEAF" w14:textId="77777777" w:rsidR="002E307E" w:rsidRPr="002E307E" w:rsidRDefault="002E307E" w:rsidP="002E307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Pre-training vs continued pre-training vs task-specific training</w:t>
      </w:r>
    </w:p>
    <w:p w14:paraId="3ACB21A1" w14:textId="77777777" w:rsidR="002E307E" w:rsidRPr="002E307E" w:rsidRDefault="002E307E" w:rsidP="002E307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Chat preparation pipelines</w:t>
      </w:r>
    </w:p>
    <w:p w14:paraId="1DD5DDDB" w14:textId="77777777" w:rsidR="002E307E" w:rsidRPr="002E307E" w:rsidRDefault="002E307E" w:rsidP="002E307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Reinforcement Learning with Human Feedback (RLHF)</w:t>
      </w:r>
    </w:p>
    <w:p w14:paraId="30ACDAA0" w14:textId="77777777" w:rsidR="002E307E" w:rsidRPr="002E307E" w:rsidRDefault="002E307E" w:rsidP="002E307E">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Parameter-Efficient Fine-Tuning (LoRA, QLoRA, adapters)</w:t>
      </w:r>
    </w:p>
    <w:p w14:paraId="724BEB36"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4AE596CC">
          <v:rect id="Horizontal Line 7" o:spid="_x0000_s1030"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658B7492"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#8 – LLM Systems &amp; Agentic AI</w:t>
      </w:r>
    </w:p>
    <w:p w14:paraId="3203EBEB" w14:textId="77777777" w:rsidR="002E307E" w:rsidRPr="002E307E" w:rsidRDefault="002E307E" w:rsidP="002E307E">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Core LLM components</w:t>
      </w:r>
    </w:p>
    <w:p w14:paraId="5B7E58E8" w14:textId="77777777" w:rsidR="002E307E" w:rsidRPr="002E307E" w:rsidRDefault="002E307E" w:rsidP="002E307E">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Compound LLM systems (RAG, tools, memory)</w:t>
      </w:r>
    </w:p>
    <w:p w14:paraId="1925A183" w14:textId="77777777" w:rsidR="002E307E" w:rsidRPr="002E307E" w:rsidRDefault="002E307E" w:rsidP="002E307E">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LLM Agents</w:t>
      </w:r>
    </w:p>
    <w:p w14:paraId="53B1E146" w14:textId="77777777" w:rsidR="002E307E" w:rsidRPr="002E307E" w:rsidRDefault="002E307E" w:rsidP="002E307E">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Agentic design patterns:</w:t>
      </w:r>
    </w:p>
    <w:p w14:paraId="6A1C2D98" w14:textId="77777777" w:rsidR="002E307E" w:rsidRPr="002E307E" w:rsidRDefault="002E307E" w:rsidP="002E307E">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Planner–Executor</w:t>
      </w:r>
    </w:p>
    <w:p w14:paraId="560E0106" w14:textId="77777777" w:rsidR="002E307E" w:rsidRPr="002E307E" w:rsidRDefault="002E307E" w:rsidP="002E307E">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Tool-using agents</w:t>
      </w:r>
    </w:p>
    <w:p w14:paraId="724A3717" w14:textId="77777777" w:rsidR="002E307E" w:rsidRPr="002E307E" w:rsidRDefault="002E307E" w:rsidP="002E307E">
      <w:pPr>
        <w:numPr>
          <w:ilvl w:val="1"/>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Multi-agent collaboration</w:t>
      </w:r>
    </w:p>
    <w:p w14:paraId="24306D7C"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04FEE68F">
          <v:rect id="Horizontal Line 8" o:spid="_x0000_s1029"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70E4F8BF"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#9– Agentic AI in Practice</w:t>
      </w:r>
    </w:p>
    <w:p w14:paraId="1B27BB43" w14:textId="77777777" w:rsidR="002E307E" w:rsidRPr="002E307E" w:rsidRDefault="002E307E" w:rsidP="002E307E">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Agent orchestration frameworks (LangChain, CrewAI, AutoGen concepts)</w:t>
      </w:r>
    </w:p>
    <w:p w14:paraId="5E47C730" w14:textId="77777777" w:rsidR="002E307E" w:rsidRPr="002E307E" w:rsidRDefault="002E307E" w:rsidP="002E307E">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Tool calling and function execution</w:t>
      </w:r>
    </w:p>
    <w:p w14:paraId="02B17214" w14:textId="77777777" w:rsidR="002E307E" w:rsidRPr="002E307E" w:rsidRDefault="002E307E" w:rsidP="002E307E">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Memory, planning, and reflection</w:t>
      </w:r>
    </w:p>
    <w:p w14:paraId="6C72237C" w14:textId="77777777" w:rsidR="002E307E" w:rsidRPr="002E307E" w:rsidRDefault="002E307E" w:rsidP="002E307E">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Agent evaluation and failure modes</w:t>
      </w:r>
    </w:p>
    <w:p w14:paraId="71C82B0E" w14:textId="77777777" w:rsidR="002E307E" w:rsidRPr="002E307E" w:rsidRDefault="002E307E" w:rsidP="002E307E">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Human-in-the-loop agent systems</w:t>
      </w:r>
    </w:p>
    <w:p w14:paraId="2728B525"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79586571">
          <v:rect id="Horizontal Line 9" o:spid="_x0000_s1028"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5FBA060F"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#10 – Distributed Training at Scale</w:t>
      </w:r>
    </w:p>
    <w:p w14:paraId="7E87616F" w14:textId="77777777" w:rsidR="002E307E" w:rsidRPr="002E307E" w:rsidRDefault="002E307E" w:rsidP="002E307E">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Data parallelism</w:t>
      </w:r>
    </w:p>
    <w:p w14:paraId="2AB1E66C" w14:textId="77777777" w:rsidR="002E307E" w:rsidRPr="002E307E" w:rsidRDefault="002E307E" w:rsidP="002E307E">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Model parallelism</w:t>
      </w:r>
    </w:p>
    <w:p w14:paraId="05E183E5" w14:textId="77777777" w:rsidR="002E307E" w:rsidRPr="002E307E" w:rsidRDefault="002E307E" w:rsidP="002E307E">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Pipeline parallelism</w:t>
      </w:r>
    </w:p>
    <w:p w14:paraId="378DA6AF" w14:textId="77777777" w:rsidR="002E307E" w:rsidRPr="002E307E" w:rsidRDefault="002E307E" w:rsidP="002E307E">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Challenges in distributed LLM training</w:t>
      </w:r>
    </w:p>
    <w:p w14:paraId="50404DC8" w14:textId="77777777" w:rsidR="002E307E" w:rsidRPr="002E307E" w:rsidRDefault="002E307E" w:rsidP="002E307E">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lastRenderedPageBreak/>
        <w:t>Libraries and tooling (DeepSpeed, FSDP concepts)</w:t>
      </w:r>
    </w:p>
    <w:p w14:paraId="4DF4D310"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36CBC2B0">
          <v:rect id="Horizontal Line 10" o:spid="_x0000_s1027"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4451EBBF"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#11 – LLMOps: Deployment, Scaling &amp; Monitoring</w:t>
      </w:r>
    </w:p>
    <w:p w14:paraId="15CDDD8C" w14:textId="77777777" w:rsidR="002E307E" w:rsidRPr="002E307E" w:rsidRDefault="002E307E" w:rsidP="002E307E">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Scaling inference for LLMs</w:t>
      </w:r>
    </w:p>
    <w:p w14:paraId="15B91190" w14:textId="77777777" w:rsidR="002E307E" w:rsidRPr="002E307E" w:rsidRDefault="002E307E" w:rsidP="002E307E">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Model serving architectures (batch vs real-time)</w:t>
      </w:r>
    </w:p>
    <w:p w14:paraId="77E382A6" w14:textId="77777777" w:rsidR="002E307E" w:rsidRPr="002E307E" w:rsidRDefault="002E307E" w:rsidP="002E307E">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Inference optimization (quantization, KV caching)</w:t>
      </w:r>
    </w:p>
    <w:p w14:paraId="6E180320" w14:textId="77777777" w:rsidR="002E307E" w:rsidRPr="002E307E" w:rsidRDefault="002E307E" w:rsidP="002E307E">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LLM deployment patterns (cloud, edge, hybrid)</w:t>
      </w:r>
    </w:p>
    <w:p w14:paraId="2A3CE753" w14:textId="77777777" w:rsidR="002E307E" w:rsidRPr="002E307E" w:rsidRDefault="002E307E" w:rsidP="002E307E">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Monitoring, logging, and cost control</w:t>
      </w:r>
    </w:p>
    <w:p w14:paraId="7D832900" w14:textId="77777777" w:rsidR="002E307E" w:rsidRPr="002E307E" w:rsidRDefault="00DB4AED" w:rsidP="002E307E">
      <w:pPr>
        <w:spacing w:after="0" w:line="240" w:lineRule="auto"/>
        <w:rPr>
          <w:rFonts w:ascii="Times New Roman" w:eastAsia="Times New Roman" w:hAnsi="Times New Roman" w:cs="Times New Roman"/>
          <w:kern w:val="0"/>
          <w14:ligatures w14:val="none"/>
        </w:rPr>
      </w:pPr>
      <w:r>
        <w:rPr>
          <w:noProof/>
        </w:rPr>
      </w:r>
      <w:r>
        <w:pict w14:anchorId="762C48CC">
          <v:rect id="Horizontal Line 1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2BC8DAA4" w14:textId="77777777" w:rsidR="002E307E" w:rsidRPr="002E307E" w:rsidRDefault="002E307E" w:rsidP="002E307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E307E">
        <w:rPr>
          <w:rFonts w:ascii="Times New Roman" w:eastAsia="Times New Roman" w:hAnsi="Times New Roman" w:cs="Times New Roman"/>
          <w:b/>
          <w:bCs/>
          <w:color w:val="000000"/>
          <w:kern w:val="0"/>
          <w14:ligatures w14:val="none"/>
        </w:rPr>
        <w:t>Module #12– Production LLMOps &amp; Governance</w:t>
      </w:r>
    </w:p>
    <w:p w14:paraId="53787FCC" w14:textId="77777777" w:rsidR="002E307E" w:rsidRPr="002E307E" w:rsidRDefault="002E307E" w:rsidP="002E307E">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End-to-end LLMOps pipelines</w:t>
      </w:r>
    </w:p>
    <w:p w14:paraId="50CB941E" w14:textId="77777777" w:rsidR="002E307E" w:rsidRPr="002E307E" w:rsidRDefault="002E307E" w:rsidP="002E307E">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Prompt versioning and experiment tracking</w:t>
      </w:r>
    </w:p>
    <w:p w14:paraId="2CFE2907" w14:textId="77777777" w:rsidR="002E307E" w:rsidRPr="002E307E" w:rsidRDefault="002E307E" w:rsidP="002E307E">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Evaluation of LLMs and agents</w:t>
      </w:r>
    </w:p>
    <w:p w14:paraId="2D78BB20" w14:textId="77777777" w:rsidR="002E307E" w:rsidRPr="002E307E" w:rsidRDefault="002E307E" w:rsidP="002E307E">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Security, safety, and governance</w:t>
      </w:r>
    </w:p>
    <w:p w14:paraId="0BAF7C57" w14:textId="77777777" w:rsidR="002E307E" w:rsidRPr="002E307E" w:rsidRDefault="002E307E" w:rsidP="002E307E">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Responsible AI and compliance</w:t>
      </w:r>
    </w:p>
    <w:p w14:paraId="6641D48B" w14:textId="77777777" w:rsidR="002E307E" w:rsidRPr="002E307E" w:rsidRDefault="002E307E" w:rsidP="002E307E">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Capstone system architecture review</w:t>
      </w:r>
    </w:p>
    <w:p w14:paraId="0683C88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w:t>
      </w:r>
    </w:p>
    <w:p w14:paraId="08B038A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Grading </w:t>
      </w:r>
    </w:p>
    <w:p w14:paraId="6B798008"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Your grade in this class will be based on the following criteria: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85"/>
        <w:gridCol w:w="4675"/>
      </w:tblGrid>
      <w:tr w:rsidR="002E307E" w:rsidRPr="002E307E" w14:paraId="5EF092ED" w14:textId="77777777">
        <w:trPr>
          <w:tblCellSpacing w:w="15" w:type="dxa"/>
        </w:trPr>
        <w:tc>
          <w:tcPr>
            <w:tcW w:w="4680" w:type="dxa"/>
            <w:vAlign w:val="center"/>
            <w:hideMark/>
          </w:tcPr>
          <w:p w14:paraId="2F31A34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Discussions (12)</w:t>
            </w:r>
          </w:p>
        </w:tc>
        <w:tc>
          <w:tcPr>
            <w:tcW w:w="4680" w:type="dxa"/>
            <w:vAlign w:val="center"/>
            <w:hideMark/>
          </w:tcPr>
          <w:p w14:paraId="1E528622"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10%</w:t>
            </w:r>
          </w:p>
        </w:tc>
      </w:tr>
      <w:tr w:rsidR="002E307E" w:rsidRPr="002E307E" w14:paraId="3AA630AB" w14:textId="77777777">
        <w:trPr>
          <w:tblCellSpacing w:w="15" w:type="dxa"/>
        </w:trPr>
        <w:tc>
          <w:tcPr>
            <w:tcW w:w="4680" w:type="dxa"/>
            <w:vAlign w:val="center"/>
            <w:hideMark/>
          </w:tcPr>
          <w:p w14:paraId="4E41805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Assignments (4) </w:t>
            </w:r>
          </w:p>
        </w:tc>
        <w:tc>
          <w:tcPr>
            <w:tcW w:w="4680" w:type="dxa"/>
            <w:vAlign w:val="center"/>
            <w:hideMark/>
          </w:tcPr>
          <w:p w14:paraId="41E649B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40%</w:t>
            </w:r>
          </w:p>
        </w:tc>
      </w:tr>
      <w:tr w:rsidR="002E307E" w:rsidRPr="002E307E" w14:paraId="1F96A1B2" w14:textId="77777777">
        <w:trPr>
          <w:tblCellSpacing w:w="15" w:type="dxa"/>
        </w:trPr>
        <w:tc>
          <w:tcPr>
            <w:tcW w:w="4680" w:type="dxa"/>
            <w:vAlign w:val="center"/>
            <w:hideMark/>
          </w:tcPr>
          <w:p w14:paraId="14A5E564"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Labs (Total 12) </w:t>
            </w:r>
          </w:p>
        </w:tc>
        <w:tc>
          <w:tcPr>
            <w:tcW w:w="4680" w:type="dxa"/>
            <w:vAlign w:val="center"/>
            <w:hideMark/>
          </w:tcPr>
          <w:p w14:paraId="3B5DFBEE"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20%</w:t>
            </w:r>
          </w:p>
        </w:tc>
      </w:tr>
      <w:tr w:rsidR="002E307E" w:rsidRPr="002E307E" w14:paraId="0D9C4475" w14:textId="77777777">
        <w:trPr>
          <w:tblCellSpacing w:w="15" w:type="dxa"/>
        </w:trPr>
        <w:tc>
          <w:tcPr>
            <w:tcW w:w="4680" w:type="dxa"/>
            <w:vAlign w:val="center"/>
            <w:hideMark/>
          </w:tcPr>
          <w:p w14:paraId="70C5E109"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Final Project (Max 2-member team)</w:t>
            </w:r>
          </w:p>
        </w:tc>
        <w:tc>
          <w:tcPr>
            <w:tcW w:w="4680" w:type="dxa"/>
            <w:vAlign w:val="center"/>
            <w:hideMark/>
          </w:tcPr>
          <w:p w14:paraId="7256F906"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30%</w:t>
            </w:r>
          </w:p>
        </w:tc>
      </w:tr>
      <w:tr w:rsidR="002E307E" w:rsidRPr="002E307E" w14:paraId="2874205C" w14:textId="77777777">
        <w:trPr>
          <w:tblCellSpacing w:w="15" w:type="dxa"/>
        </w:trPr>
        <w:tc>
          <w:tcPr>
            <w:tcW w:w="0" w:type="auto"/>
            <w:vAlign w:val="center"/>
            <w:hideMark/>
          </w:tcPr>
          <w:p w14:paraId="3EFAF7EC" w14:textId="77777777" w:rsidR="002E307E" w:rsidRPr="002E307E" w:rsidRDefault="002E307E" w:rsidP="002E307E">
            <w:pPr>
              <w:spacing w:after="0" w:line="240" w:lineRule="auto"/>
              <w:rPr>
                <w:rFonts w:ascii="Times New Roman" w:eastAsia="Times New Roman" w:hAnsi="Times New Roman" w:cs="Times New Roman"/>
                <w:color w:val="000000"/>
                <w:kern w:val="0"/>
                <w14:ligatures w14:val="none"/>
              </w:rPr>
            </w:pPr>
          </w:p>
        </w:tc>
        <w:tc>
          <w:tcPr>
            <w:tcW w:w="0" w:type="auto"/>
            <w:vAlign w:val="center"/>
            <w:hideMark/>
          </w:tcPr>
          <w:p w14:paraId="3D05F426" w14:textId="77777777" w:rsidR="002E307E" w:rsidRPr="002E307E" w:rsidRDefault="002E307E" w:rsidP="002E307E">
            <w:pPr>
              <w:spacing w:after="0" w:line="240" w:lineRule="auto"/>
              <w:rPr>
                <w:rFonts w:ascii="Times New Roman" w:eastAsia="Times New Roman" w:hAnsi="Times New Roman" w:cs="Times New Roman"/>
                <w:kern w:val="0"/>
                <w:sz w:val="20"/>
                <w:szCs w:val="20"/>
                <w14:ligatures w14:val="none"/>
              </w:rPr>
            </w:pPr>
          </w:p>
        </w:tc>
      </w:tr>
    </w:tbl>
    <w:p w14:paraId="0A0A3900"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w:t>
      </w:r>
    </w:p>
    <w:p w14:paraId="453964BB"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The grading scale is as follows (+ and - modifiers will be applied as appropriate):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7"/>
        <w:gridCol w:w="4683"/>
      </w:tblGrid>
      <w:tr w:rsidR="002E307E" w:rsidRPr="002E307E" w14:paraId="3991EBD8" w14:textId="77777777">
        <w:trPr>
          <w:tblCellSpacing w:w="15" w:type="dxa"/>
        </w:trPr>
        <w:tc>
          <w:tcPr>
            <w:tcW w:w="4680" w:type="dxa"/>
            <w:vAlign w:val="center"/>
            <w:hideMark/>
          </w:tcPr>
          <w:p w14:paraId="45DA287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Letter Grade</w:t>
            </w:r>
          </w:p>
        </w:tc>
        <w:tc>
          <w:tcPr>
            <w:tcW w:w="4680" w:type="dxa"/>
            <w:vAlign w:val="center"/>
            <w:hideMark/>
          </w:tcPr>
          <w:p w14:paraId="5D4EF82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Percentage</w:t>
            </w:r>
          </w:p>
        </w:tc>
      </w:tr>
      <w:tr w:rsidR="002E307E" w:rsidRPr="002E307E" w14:paraId="08A5D471" w14:textId="77777777">
        <w:trPr>
          <w:tblCellSpacing w:w="15" w:type="dxa"/>
        </w:trPr>
        <w:tc>
          <w:tcPr>
            <w:tcW w:w="4680" w:type="dxa"/>
            <w:vAlign w:val="center"/>
            <w:hideMark/>
          </w:tcPr>
          <w:p w14:paraId="2E119FDA"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A</w:t>
            </w:r>
          </w:p>
        </w:tc>
        <w:tc>
          <w:tcPr>
            <w:tcW w:w="4680" w:type="dxa"/>
            <w:vAlign w:val="center"/>
            <w:hideMark/>
          </w:tcPr>
          <w:p w14:paraId="752E34A0"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95-100</w:t>
            </w:r>
          </w:p>
        </w:tc>
      </w:tr>
      <w:tr w:rsidR="002E307E" w:rsidRPr="002E307E" w14:paraId="0145425F" w14:textId="77777777">
        <w:trPr>
          <w:tblCellSpacing w:w="15" w:type="dxa"/>
        </w:trPr>
        <w:tc>
          <w:tcPr>
            <w:tcW w:w="4680" w:type="dxa"/>
            <w:vAlign w:val="center"/>
            <w:hideMark/>
          </w:tcPr>
          <w:p w14:paraId="5CD39F5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A-</w:t>
            </w:r>
          </w:p>
        </w:tc>
        <w:tc>
          <w:tcPr>
            <w:tcW w:w="4680" w:type="dxa"/>
            <w:vAlign w:val="center"/>
            <w:hideMark/>
          </w:tcPr>
          <w:p w14:paraId="3D94672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90-94</w:t>
            </w:r>
          </w:p>
        </w:tc>
      </w:tr>
      <w:tr w:rsidR="002E307E" w:rsidRPr="002E307E" w14:paraId="0C01386F" w14:textId="77777777">
        <w:trPr>
          <w:tblCellSpacing w:w="15" w:type="dxa"/>
        </w:trPr>
        <w:tc>
          <w:tcPr>
            <w:tcW w:w="4680" w:type="dxa"/>
            <w:vAlign w:val="center"/>
            <w:hideMark/>
          </w:tcPr>
          <w:p w14:paraId="590FE0C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B+</w:t>
            </w:r>
          </w:p>
        </w:tc>
        <w:tc>
          <w:tcPr>
            <w:tcW w:w="4680" w:type="dxa"/>
            <w:vAlign w:val="center"/>
            <w:hideMark/>
          </w:tcPr>
          <w:p w14:paraId="512ED07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87-89</w:t>
            </w:r>
          </w:p>
        </w:tc>
      </w:tr>
      <w:tr w:rsidR="002E307E" w:rsidRPr="002E307E" w14:paraId="775D29C1" w14:textId="77777777">
        <w:trPr>
          <w:tblCellSpacing w:w="15" w:type="dxa"/>
        </w:trPr>
        <w:tc>
          <w:tcPr>
            <w:tcW w:w="4680" w:type="dxa"/>
            <w:vAlign w:val="center"/>
            <w:hideMark/>
          </w:tcPr>
          <w:p w14:paraId="25DEB8D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B</w:t>
            </w:r>
          </w:p>
        </w:tc>
        <w:tc>
          <w:tcPr>
            <w:tcW w:w="4680" w:type="dxa"/>
            <w:vAlign w:val="center"/>
            <w:hideMark/>
          </w:tcPr>
          <w:p w14:paraId="6C64F022"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84-86</w:t>
            </w:r>
          </w:p>
        </w:tc>
      </w:tr>
      <w:tr w:rsidR="002E307E" w:rsidRPr="002E307E" w14:paraId="3536B2E9" w14:textId="77777777">
        <w:trPr>
          <w:tblCellSpacing w:w="15" w:type="dxa"/>
        </w:trPr>
        <w:tc>
          <w:tcPr>
            <w:tcW w:w="4680" w:type="dxa"/>
            <w:vAlign w:val="center"/>
            <w:hideMark/>
          </w:tcPr>
          <w:p w14:paraId="4C17D669"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B-</w:t>
            </w:r>
          </w:p>
        </w:tc>
        <w:tc>
          <w:tcPr>
            <w:tcW w:w="4680" w:type="dxa"/>
            <w:vAlign w:val="center"/>
            <w:hideMark/>
          </w:tcPr>
          <w:p w14:paraId="4989596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80-83</w:t>
            </w:r>
          </w:p>
        </w:tc>
      </w:tr>
      <w:tr w:rsidR="002E307E" w:rsidRPr="002E307E" w14:paraId="64F8D5FF" w14:textId="77777777">
        <w:trPr>
          <w:tblCellSpacing w:w="15" w:type="dxa"/>
        </w:trPr>
        <w:tc>
          <w:tcPr>
            <w:tcW w:w="4680" w:type="dxa"/>
            <w:vAlign w:val="center"/>
            <w:hideMark/>
          </w:tcPr>
          <w:p w14:paraId="0E7A51D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lastRenderedPageBreak/>
              <w:t>C+</w:t>
            </w:r>
          </w:p>
        </w:tc>
        <w:tc>
          <w:tcPr>
            <w:tcW w:w="4680" w:type="dxa"/>
            <w:vAlign w:val="center"/>
            <w:hideMark/>
          </w:tcPr>
          <w:p w14:paraId="05A34E20"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79-68</w:t>
            </w:r>
          </w:p>
        </w:tc>
      </w:tr>
      <w:tr w:rsidR="002E307E" w:rsidRPr="002E307E" w14:paraId="3987778B" w14:textId="77777777">
        <w:trPr>
          <w:tblCellSpacing w:w="15" w:type="dxa"/>
        </w:trPr>
        <w:tc>
          <w:tcPr>
            <w:tcW w:w="4680" w:type="dxa"/>
            <w:vAlign w:val="center"/>
            <w:hideMark/>
          </w:tcPr>
          <w:p w14:paraId="3936969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D+</w:t>
            </w:r>
          </w:p>
        </w:tc>
        <w:tc>
          <w:tcPr>
            <w:tcW w:w="4680" w:type="dxa"/>
            <w:vAlign w:val="center"/>
            <w:hideMark/>
          </w:tcPr>
          <w:p w14:paraId="7E3B06F9"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67-61</w:t>
            </w:r>
          </w:p>
        </w:tc>
      </w:tr>
      <w:tr w:rsidR="002E307E" w:rsidRPr="002E307E" w14:paraId="68BFF9A3" w14:textId="77777777">
        <w:trPr>
          <w:tblCellSpacing w:w="15" w:type="dxa"/>
        </w:trPr>
        <w:tc>
          <w:tcPr>
            <w:tcW w:w="4680" w:type="dxa"/>
            <w:vAlign w:val="center"/>
            <w:hideMark/>
          </w:tcPr>
          <w:p w14:paraId="1D01D75B"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F</w:t>
            </w:r>
          </w:p>
        </w:tc>
        <w:tc>
          <w:tcPr>
            <w:tcW w:w="4680" w:type="dxa"/>
            <w:vAlign w:val="center"/>
            <w:hideMark/>
          </w:tcPr>
          <w:p w14:paraId="6AAF78F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&lt;61</w:t>
            </w:r>
          </w:p>
        </w:tc>
      </w:tr>
    </w:tbl>
    <w:p w14:paraId="27D8C99E"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w:t>
      </w:r>
    </w:p>
    <w:p w14:paraId="42BB7F5A"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Late Assignments</w:t>
      </w:r>
    </w:p>
    <w:p w14:paraId="2E116814"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Any assignment submitted after its deadline is considered late. The following penalties for late assignments apply:</w:t>
      </w:r>
    </w:p>
    <w:p w14:paraId="6CD28C92" w14:textId="77777777" w:rsidR="002E307E" w:rsidRPr="002E307E" w:rsidRDefault="002E307E" w:rsidP="002E307E">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0-24 hours late: -5%</w:t>
      </w:r>
    </w:p>
    <w:p w14:paraId="6467BDEA" w14:textId="77777777" w:rsidR="002E307E" w:rsidRPr="002E307E" w:rsidRDefault="002E307E" w:rsidP="002E307E">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25-48 hours late: -10%</w:t>
      </w:r>
    </w:p>
    <w:p w14:paraId="7AEDA407" w14:textId="77777777" w:rsidR="002E307E" w:rsidRPr="002E307E" w:rsidRDefault="002E307E" w:rsidP="002E307E">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49-72 hours late: -20%</w:t>
      </w:r>
    </w:p>
    <w:p w14:paraId="09BAA193" w14:textId="77777777" w:rsidR="002E307E" w:rsidRPr="002E307E" w:rsidRDefault="002E307E" w:rsidP="002E307E">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after 72 hours not accepted</w:t>
      </w:r>
    </w:p>
    <w:p w14:paraId="57D52FA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This time limit includes weekends -- they are counted just like weekdays.</w:t>
      </w:r>
    </w:p>
    <w:p w14:paraId="289152A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 reserve the right to specify that late submissions will not be accepted for assignments</w:t>
      </w:r>
    </w:p>
    <w:p w14:paraId="6A1C098F"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 </w:t>
      </w:r>
    </w:p>
    <w:p w14:paraId="50A7A4B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Course Policies</w:t>
      </w:r>
    </w:p>
    <w:p w14:paraId="4A65E9C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Online and in- person classroom Conduct (Netiquette)</w:t>
      </w:r>
    </w:p>
    <w:p w14:paraId="42C72C99"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Students are expected to follow good </w:t>
      </w:r>
      <w:hyperlink r:id="rId6" w:history="1">
        <w:r w:rsidRPr="002E307E">
          <w:rPr>
            <w:rFonts w:ascii="Times New Roman" w:eastAsia="Times New Roman" w:hAnsi="Times New Roman" w:cs="Times New Roman"/>
            <w:color w:val="0000FF"/>
            <w:kern w:val="0"/>
            <w:u w:val="single"/>
            <w14:ligatures w14:val="none"/>
          </w:rPr>
          <w:t>Netiquette</w:t>
        </w:r>
      </w:hyperlink>
      <w:r w:rsidRPr="002E307E">
        <w:rPr>
          <w:rFonts w:ascii="Times New Roman" w:eastAsia="Times New Roman" w:hAnsi="Times New Roman" w:cs="Times New Roman"/>
          <w:color w:val="000000"/>
          <w:kern w:val="0"/>
          <w14:ligatures w14:val="none"/>
        </w:rPr>
        <w:t> rules. Netiquette is the accepted behavior for online and in-person participation.  The following is a list of general guidelines for this course:</w:t>
      </w:r>
    </w:p>
    <w:p w14:paraId="6E06BC3A" w14:textId="77777777" w:rsidR="002E307E" w:rsidRPr="002E307E" w:rsidRDefault="002E307E" w:rsidP="002E307E">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Check your grammar and spelling</w:t>
      </w:r>
    </w:p>
    <w:p w14:paraId="136FE453" w14:textId="77777777" w:rsidR="002E307E" w:rsidRPr="002E307E" w:rsidRDefault="002E307E" w:rsidP="002E307E">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Keep your comments focused on the topic</w:t>
      </w:r>
    </w:p>
    <w:p w14:paraId="4697032B" w14:textId="77777777" w:rsidR="002E307E" w:rsidRPr="002E307E" w:rsidRDefault="002E307E" w:rsidP="002E307E">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Strive to write succinctly and clearly</w:t>
      </w:r>
    </w:p>
    <w:p w14:paraId="2A61593F" w14:textId="77777777" w:rsidR="002E307E" w:rsidRPr="002E307E" w:rsidRDefault="002E307E" w:rsidP="002E307E">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Share your knowledge and include supportive evidence for your comments</w:t>
      </w:r>
    </w:p>
    <w:p w14:paraId="73A98A71" w14:textId="77777777" w:rsidR="002E307E" w:rsidRPr="002E307E" w:rsidRDefault="002E307E" w:rsidP="002E307E">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Do not use all capital letters as that is viewed as shouting</w:t>
      </w:r>
    </w:p>
    <w:p w14:paraId="4A3118F8" w14:textId="77777777" w:rsidR="002E307E" w:rsidRPr="002E307E" w:rsidRDefault="002E307E" w:rsidP="002E307E">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Avoid flaming—disrespectful language is unacceptable</w:t>
      </w:r>
    </w:p>
    <w:p w14:paraId="5897CEF7"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Course Disclaimer</w:t>
      </w:r>
    </w:p>
    <w:p w14:paraId="52EBB0A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Every attempt is made to provide a syllabus that is complete and that provides an accurate overview of the course. However, circumstances and events may make it necessary for the instructor to modify the syllabus during the semester. This may depend, in part, on the progress, needs, and experiences of the students. </w:t>
      </w:r>
    </w:p>
    <w:p w14:paraId="36E49EC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 </w:t>
      </w:r>
    </w:p>
    <w:p w14:paraId="7BAB32C4"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University Policies</w:t>
      </w:r>
    </w:p>
    <w:p w14:paraId="71C7958B"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lastRenderedPageBreak/>
        <w:t>University Policies</w:t>
      </w:r>
    </w:p>
    <w:p w14:paraId="10C0D795"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Honor Pledge</w:t>
      </w:r>
    </w:p>
    <w:p w14:paraId="511B19C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i/>
          <w:iCs/>
          <w:color w:val="000000"/>
          <w:kern w:val="0"/>
          <w14:ligatures w14:val="none"/>
        </w:rPr>
        <w:t>"I pledge to support the honor system of Old Dominion University. I will refrain from any form of academic dishonesty or deception, such as cheating or plagiarism. I am aware that as a member if the academic community, it is my responsibility to turn in all suspected violators of the honor system. I will report to Honor Council hearings if summoned." </w:t>
      </w:r>
      <w:r w:rsidRPr="002E307E">
        <w:rPr>
          <w:rFonts w:ascii="Times New Roman" w:eastAsia="Times New Roman" w:hAnsi="Times New Roman" w:cs="Times New Roman"/>
          <w:color w:val="000000"/>
          <w:kern w:val="0"/>
          <w14:ligatures w14:val="none"/>
        </w:rPr>
        <w:t> By attending Old Dominion University you have accepted the responsibility to abide by this code. This is an institutional policy approved by the Board of Visitors. For more information please visit </w:t>
      </w:r>
      <w:hyperlink r:id="rId7" w:history="1">
        <w:r w:rsidRPr="002E307E">
          <w:rPr>
            <w:rFonts w:ascii="Times New Roman" w:eastAsia="Times New Roman" w:hAnsi="Times New Roman" w:cs="Times New Roman"/>
            <w:color w:val="0000FF"/>
            <w:kern w:val="0"/>
            <w:u w:val="single"/>
            <w14:ligatures w14:val="none"/>
          </w:rPr>
          <w:t>Honor Council</w:t>
        </w:r>
      </w:hyperlink>
    </w:p>
    <w:p w14:paraId="17B8353E"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Educational Accessibility</w:t>
      </w:r>
    </w:p>
    <w:p w14:paraId="10DF587A"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Old Dominion University is committed to ensuring equal access to all qualified students with disabilities in accordance with the Americans with Disabilities Act. The Office of Educational Accessibility (OEA) is the campus office that works with students who have disabilities to provide and/or arrange reasonable accommodations.</w:t>
      </w:r>
    </w:p>
    <w:p w14:paraId="635208B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If you experience a disability which will impact your ability to access any aspect of my class, please present me with an accommodation letter from OEA so that we can work together to ensure that appropriate accommodations are available to you.</w:t>
      </w:r>
    </w:p>
    <w:p w14:paraId="5D24A6B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If you feel that you will experience barriers to your ability to learn and/or testing in my class but do not have an accommodation letter, please consider scheduling an appointment with OEA to determine if academic accommodations are necessary.</w:t>
      </w:r>
    </w:p>
    <w:p w14:paraId="621BFB8A"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The Office of Educational Accessibility is located at 1021 Student Success Center and their phone number is </w:t>
      </w:r>
      <w:hyperlink r:id="rId8" w:history="1">
        <w:r w:rsidRPr="002E307E">
          <w:rPr>
            <w:rFonts w:ascii="Times New Roman" w:eastAsia="Times New Roman" w:hAnsi="Times New Roman" w:cs="Times New Roman"/>
            <w:color w:val="0000FF"/>
            <w:kern w:val="0"/>
            <w:u w:val="single"/>
            <w14:ligatures w14:val="none"/>
          </w:rPr>
          <w:t>(757)683-4655</w:t>
        </w:r>
      </w:hyperlink>
      <w:r w:rsidRPr="002E307E">
        <w:rPr>
          <w:rFonts w:ascii="Times New Roman" w:eastAsia="Times New Roman" w:hAnsi="Times New Roman" w:cs="Times New Roman"/>
          <w:color w:val="000000"/>
          <w:kern w:val="0"/>
          <w14:ligatures w14:val="none"/>
        </w:rPr>
        <w:t>. Additional information is available at the </w:t>
      </w:r>
      <w:hyperlink r:id="rId9" w:history="1">
        <w:r w:rsidRPr="002E307E">
          <w:rPr>
            <w:rFonts w:ascii="Times New Roman" w:eastAsia="Times New Roman" w:hAnsi="Times New Roman" w:cs="Times New Roman"/>
            <w:color w:val="0000FF"/>
            <w:kern w:val="0"/>
            <w:u w:val="single"/>
            <w14:ligatures w14:val="none"/>
          </w:rPr>
          <w:t>OEA Website</w:t>
        </w:r>
      </w:hyperlink>
      <w:r w:rsidRPr="002E307E">
        <w:rPr>
          <w:rFonts w:ascii="Times New Roman" w:eastAsia="Times New Roman" w:hAnsi="Times New Roman" w:cs="Times New Roman"/>
          <w:color w:val="000000"/>
          <w:kern w:val="0"/>
          <w14:ligatures w14:val="none"/>
        </w:rPr>
        <w:t>.</w:t>
      </w:r>
    </w:p>
    <w:p w14:paraId="668DC728"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University Email Policy</w:t>
      </w:r>
    </w:p>
    <w:p w14:paraId="681E2431"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The Old Dominion University e-mail system is the official electronic mail system for distributing course-related communications, policies, announcements and other information. A University e-mail user ID and password are necessary for authentication and access to numerous electronic resources (Blackboard, faculty websites, etc.).</w:t>
      </w:r>
    </w:p>
    <w:p w14:paraId="675F63C2"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Withdrawal</w:t>
      </w:r>
    </w:p>
    <w:p w14:paraId="51830243"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 xml:space="preserve">A syllabus constitutes an agreement between the student and the course instructor about course requirements. Participation in this course indicates your acceptance of its teaching focus, requirements, and policies. Please review the syllabus and the course requirements as soon as possible. If you believe that the nature of this course does not meet your interests, needs or expectations, if you are not prepared for the amount of work involved - or if you anticipate that the class meetings, assignment deadlines or abiding by the course policies will constitute an unacceptable hardship for you - you should drop the class by the drop/add deadline, which is </w:t>
      </w:r>
      <w:r w:rsidRPr="002E307E">
        <w:rPr>
          <w:rFonts w:ascii="Times New Roman" w:eastAsia="Times New Roman" w:hAnsi="Times New Roman" w:cs="Times New Roman"/>
          <w:color w:val="000000"/>
          <w:kern w:val="0"/>
          <w14:ligatures w14:val="none"/>
        </w:rPr>
        <w:lastRenderedPageBreak/>
        <w:t>located in the ODU </w:t>
      </w:r>
      <w:hyperlink r:id="rId10" w:history="1">
        <w:r w:rsidRPr="002E307E">
          <w:rPr>
            <w:rFonts w:ascii="Times New Roman" w:eastAsia="Times New Roman" w:hAnsi="Times New Roman" w:cs="Times New Roman"/>
            <w:color w:val="0000FF"/>
            <w:kern w:val="0"/>
            <w:u w:val="single"/>
            <w14:ligatures w14:val="none"/>
          </w:rPr>
          <w:t>Schedule of Classes</w:t>
        </w:r>
      </w:hyperlink>
      <w:r w:rsidRPr="002E307E">
        <w:rPr>
          <w:rFonts w:ascii="Times New Roman" w:eastAsia="Times New Roman" w:hAnsi="Times New Roman" w:cs="Times New Roman"/>
          <w:color w:val="000000"/>
          <w:kern w:val="0"/>
          <w14:ligatures w14:val="none"/>
        </w:rPr>
        <w:t>. For more information, please visit the Office of the </w:t>
      </w:r>
      <w:hyperlink r:id="rId11" w:history="1">
        <w:r w:rsidRPr="002E307E">
          <w:rPr>
            <w:rFonts w:ascii="Times New Roman" w:eastAsia="Times New Roman" w:hAnsi="Times New Roman" w:cs="Times New Roman"/>
            <w:color w:val="0000FF"/>
            <w:kern w:val="0"/>
            <w:u w:val="single"/>
            <w14:ligatures w14:val="none"/>
          </w:rPr>
          <w:t>University Registrar.</w:t>
        </w:r>
      </w:hyperlink>
    </w:p>
    <w:p w14:paraId="29FA96B0"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b/>
          <w:bCs/>
          <w:color w:val="000000"/>
          <w:kern w:val="0"/>
          <w14:ligatures w14:val="none"/>
        </w:rPr>
        <w:t>Student Acknowledgement</w:t>
      </w:r>
    </w:p>
    <w:p w14:paraId="0D73A952"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“I, _______________ , have completely read this syllabus and understand and agree to the course requirements”. </w:t>
      </w:r>
    </w:p>
    <w:p w14:paraId="293357ED" w14:textId="77777777" w:rsidR="002E307E" w:rsidRPr="002E307E" w:rsidRDefault="002E307E" w:rsidP="002E307E">
      <w:pPr>
        <w:spacing w:before="100" w:beforeAutospacing="1" w:after="100" w:afterAutospacing="1" w:line="240" w:lineRule="auto"/>
        <w:rPr>
          <w:rFonts w:ascii="Times New Roman" w:eastAsia="Times New Roman" w:hAnsi="Times New Roman" w:cs="Times New Roman"/>
          <w:color w:val="000000"/>
          <w:kern w:val="0"/>
          <w14:ligatures w14:val="none"/>
        </w:rPr>
      </w:pPr>
      <w:r w:rsidRPr="002E307E">
        <w:rPr>
          <w:rFonts w:ascii="Times New Roman" w:eastAsia="Times New Roman" w:hAnsi="Times New Roman" w:cs="Times New Roman"/>
          <w:color w:val="000000"/>
          <w:kern w:val="0"/>
          <w14:ligatures w14:val="none"/>
        </w:rPr>
        <w:t> </w:t>
      </w:r>
    </w:p>
    <w:p w14:paraId="1A9C8603" w14:textId="77777777" w:rsidR="00EE21B9" w:rsidRDefault="00EE21B9"/>
    <w:sectPr w:rsidR="00EE2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C206A"/>
    <w:multiLevelType w:val="multilevel"/>
    <w:tmpl w:val="8C6C7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A261E"/>
    <w:multiLevelType w:val="multilevel"/>
    <w:tmpl w:val="1D34A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320FA"/>
    <w:multiLevelType w:val="multilevel"/>
    <w:tmpl w:val="AABE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4593E"/>
    <w:multiLevelType w:val="multilevel"/>
    <w:tmpl w:val="CC02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D6147"/>
    <w:multiLevelType w:val="multilevel"/>
    <w:tmpl w:val="64AE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B3EC1"/>
    <w:multiLevelType w:val="multilevel"/>
    <w:tmpl w:val="63788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3F2670"/>
    <w:multiLevelType w:val="multilevel"/>
    <w:tmpl w:val="93DC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440B81"/>
    <w:multiLevelType w:val="multilevel"/>
    <w:tmpl w:val="F7F4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3F32AF"/>
    <w:multiLevelType w:val="multilevel"/>
    <w:tmpl w:val="4854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1034F6"/>
    <w:multiLevelType w:val="multilevel"/>
    <w:tmpl w:val="1E00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EE39CE"/>
    <w:multiLevelType w:val="multilevel"/>
    <w:tmpl w:val="9418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3F0E9D"/>
    <w:multiLevelType w:val="multilevel"/>
    <w:tmpl w:val="A6D00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BA3DDA"/>
    <w:multiLevelType w:val="multilevel"/>
    <w:tmpl w:val="05BA0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0C20E8"/>
    <w:multiLevelType w:val="multilevel"/>
    <w:tmpl w:val="2CAE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3451EE"/>
    <w:multiLevelType w:val="multilevel"/>
    <w:tmpl w:val="E17A9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014081">
    <w:abstractNumId w:val="10"/>
  </w:num>
  <w:num w:numId="2" w16cid:durableId="1496799799">
    <w:abstractNumId w:val="0"/>
  </w:num>
  <w:num w:numId="3" w16cid:durableId="388193729">
    <w:abstractNumId w:val="8"/>
  </w:num>
  <w:num w:numId="4" w16cid:durableId="454100067">
    <w:abstractNumId w:val="2"/>
  </w:num>
  <w:num w:numId="5" w16cid:durableId="1916818160">
    <w:abstractNumId w:val="1"/>
  </w:num>
  <w:num w:numId="6" w16cid:durableId="1428307989">
    <w:abstractNumId w:val="3"/>
  </w:num>
  <w:num w:numId="7" w16cid:durableId="961499561">
    <w:abstractNumId w:val="6"/>
  </w:num>
  <w:num w:numId="8" w16cid:durableId="769086071">
    <w:abstractNumId w:val="14"/>
  </w:num>
  <w:num w:numId="9" w16cid:durableId="176625853">
    <w:abstractNumId w:val="12"/>
  </w:num>
  <w:num w:numId="10" w16cid:durableId="2132311415">
    <w:abstractNumId w:val="9"/>
  </w:num>
  <w:num w:numId="11" w16cid:durableId="1301225629">
    <w:abstractNumId w:val="5"/>
  </w:num>
  <w:num w:numId="12" w16cid:durableId="1501234828">
    <w:abstractNumId w:val="13"/>
  </w:num>
  <w:num w:numId="13" w16cid:durableId="377097404">
    <w:abstractNumId w:val="11"/>
  </w:num>
  <w:num w:numId="14" w16cid:durableId="831681047">
    <w:abstractNumId w:val="7"/>
  </w:num>
  <w:num w:numId="15" w16cid:durableId="11517882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07E"/>
    <w:rsid w:val="0012052F"/>
    <w:rsid w:val="00220493"/>
    <w:rsid w:val="002E307E"/>
    <w:rsid w:val="008233D3"/>
    <w:rsid w:val="00D31740"/>
    <w:rsid w:val="00D66AB4"/>
    <w:rsid w:val="00DB4AED"/>
    <w:rsid w:val="00EE2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E71F9C5"/>
  <w15:chartTrackingRefBased/>
  <w15:docId w15:val="{D7F60D67-DEE9-7E4B-82D2-6C9C0AC90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3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E3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E30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30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30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30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30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30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30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3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E30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30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30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30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0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0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07E"/>
    <w:rPr>
      <w:rFonts w:eastAsiaTheme="majorEastAsia" w:cstheme="majorBidi"/>
      <w:color w:val="272727" w:themeColor="text1" w:themeTint="D8"/>
    </w:rPr>
  </w:style>
  <w:style w:type="paragraph" w:styleId="Title">
    <w:name w:val="Title"/>
    <w:basedOn w:val="Normal"/>
    <w:next w:val="Normal"/>
    <w:link w:val="TitleChar"/>
    <w:uiPriority w:val="10"/>
    <w:qFormat/>
    <w:rsid w:val="002E3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3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30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30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307E"/>
    <w:pPr>
      <w:spacing w:before="160"/>
      <w:jc w:val="center"/>
    </w:pPr>
    <w:rPr>
      <w:i/>
      <w:iCs/>
      <w:color w:val="404040" w:themeColor="text1" w:themeTint="BF"/>
    </w:rPr>
  </w:style>
  <w:style w:type="character" w:customStyle="1" w:styleId="QuoteChar">
    <w:name w:val="Quote Char"/>
    <w:basedOn w:val="DefaultParagraphFont"/>
    <w:link w:val="Quote"/>
    <w:uiPriority w:val="29"/>
    <w:rsid w:val="002E307E"/>
    <w:rPr>
      <w:i/>
      <w:iCs/>
      <w:color w:val="404040" w:themeColor="text1" w:themeTint="BF"/>
    </w:rPr>
  </w:style>
  <w:style w:type="paragraph" w:styleId="ListParagraph">
    <w:name w:val="List Paragraph"/>
    <w:basedOn w:val="Normal"/>
    <w:uiPriority w:val="34"/>
    <w:qFormat/>
    <w:rsid w:val="002E307E"/>
    <w:pPr>
      <w:ind w:left="720"/>
      <w:contextualSpacing/>
    </w:pPr>
  </w:style>
  <w:style w:type="character" w:styleId="IntenseEmphasis">
    <w:name w:val="Intense Emphasis"/>
    <w:basedOn w:val="DefaultParagraphFont"/>
    <w:uiPriority w:val="21"/>
    <w:qFormat/>
    <w:rsid w:val="002E307E"/>
    <w:rPr>
      <w:i/>
      <w:iCs/>
      <w:color w:val="0F4761" w:themeColor="accent1" w:themeShade="BF"/>
    </w:rPr>
  </w:style>
  <w:style w:type="paragraph" w:styleId="IntenseQuote">
    <w:name w:val="Intense Quote"/>
    <w:basedOn w:val="Normal"/>
    <w:next w:val="Normal"/>
    <w:link w:val="IntenseQuoteChar"/>
    <w:uiPriority w:val="30"/>
    <w:qFormat/>
    <w:rsid w:val="002E3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307E"/>
    <w:rPr>
      <w:i/>
      <w:iCs/>
      <w:color w:val="0F4761" w:themeColor="accent1" w:themeShade="BF"/>
    </w:rPr>
  </w:style>
  <w:style w:type="character" w:styleId="IntenseReference">
    <w:name w:val="Intense Reference"/>
    <w:basedOn w:val="DefaultParagraphFont"/>
    <w:uiPriority w:val="32"/>
    <w:qFormat/>
    <w:rsid w:val="002E307E"/>
    <w:rPr>
      <w:b/>
      <w:bCs/>
      <w:smallCaps/>
      <w:color w:val="0F4761" w:themeColor="accent1" w:themeShade="BF"/>
      <w:spacing w:val="5"/>
    </w:rPr>
  </w:style>
  <w:style w:type="character" w:styleId="Strong">
    <w:name w:val="Strong"/>
    <w:basedOn w:val="DefaultParagraphFont"/>
    <w:uiPriority w:val="22"/>
    <w:qFormat/>
    <w:rsid w:val="002E307E"/>
    <w:rPr>
      <w:b/>
      <w:bCs/>
    </w:rPr>
  </w:style>
  <w:style w:type="paragraph" w:styleId="NormalWeb">
    <w:name w:val="Normal (Web)"/>
    <w:basedOn w:val="Normal"/>
    <w:uiPriority w:val="99"/>
    <w:semiHidden/>
    <w:unhideWhenUsed/>
    <w:rsid w:val="002E307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2E307E"/>
    <w:rPr>
      <w:color w:val="0000FF"/>
      <w:u w:val="single"/>
    </w:rPr>
  </w:style>
  <w:style w:type="character" w:customStyle="1" w:styleId="apple-converted-space">
    <w:name w:val="apple-converted-space"/>
    <w:basedOn w:val="DefaultParagraphFont"/>
    <w:rsid w:val="002E307E"/>
  </w:style>
  <w:style w:type="character" w:styleId="Emphasis">
    <w:name w:val="Emphasis"/>
    <w:basedOn w:val="DefaultParagraphFont"/>
    <w:uiPriority w:val="20"/>
    <w:qFormat/>
    <w:rsid w:val="002E30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1757683465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du.edu/about/monarchcitizenship"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www.albion.com/netiquette/corerules.html" TargetMode="External"/><Relationship Id="rId11" Type="http://schemas.openxmlformats.org/officeDocument/2006/relationships/hyperlink" Target="https://www.odu.edu/registrar" TargetMode="External"/><Relationship Id="rId5" Type="http://schemas.openxmlformats.org/officeDocument/2006/relationships/hyperlink" Target="mailto:snukavar@odu.edu" TargetMode="External"/><Relationship Id="rId15" Type="http://schemas.openxmlformats.org/officeDocument/2006/relationships/customXml" Target="../customXml/item2.xml"/><Relationship Id="rId10" Type="http://schemas.openxmlformats.org/officeDocument/2006/relationships/hyperlink" Target="https://www.odu.edu/academics/calendar" TargetMode="External"/><Relationship Id="rId4" Type="http://schemas.openxmlformats.org/officeDocument/2006/relationships/webSettings" Target="webSettings.xml"/><Relationship Id="rId9" Type="http://schemas.openxmlformats.org/officeDocument/2006/relationships/hyperlink" Target="http://www.odu.edu/educationalaccessibility/"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03328B-4272-4B94-BB7E-7F4F3D777FFB}"/>
</file>

<file path=customXml/itemProps2.xml><?xml version="1.0" encoding="utf-8"?>
<ds:datastoreItem xmlns:ds="http://schemas.openxmlformats.org/officeDocument/2006/customXml" ds:itemID="{B1238DC5-5EC2-48F4-AE92-06975E10FF40}"/>
</file>

<file path=customXml/itemProps3.xml><?xml version="1.0" encoding="utf-8"?>
<ds:datastoreItem xmlns:ds="http://schemas.openxmlformats.org/officeDocument/2006/customXml" ds:itemID="{BF1CA217-4CC2-4E05-B05D-E59BE7CB40EA}"/>
</file>

<file path=docProps/app.xml><?xml version="1.0" encoding="utf-8"?>
<Properties xmlns="http://schemas.openxmlformats.org/officeDocument/2006/extended-properties" xmlns:vt="http://schemas.openxmlformats.org/officeDocument/2006/docPropsVTypes">
  <Template>Normal.dotm</Template>
  <TotalTime>2</TotalTime>
  <Pages>7</Pages>
  <Words>1347</Words>
  <Characters>7680</Characters>
  <Application>Microsoft Office Word</Application>
  <DocSecurity>0</DocSecurity>
  <Lines>64</Lines>
  <Paragraphs>18</Paragraphs>
  <ScaleCrop>false</ScaleCrop>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Nukavarapu, Santosh</dc:creator>
  <cp:keywords/>
  <dc:description/>
  <cp:lastModifiedBy>Nukavarapu, Santosh</cp:lastModifiedBy>
  <cp:revision>3</cp:revision>
  <dcterms:created xsi:type="dcterms:W3CDTF">2026-09-25T20:34:00Z</dcterms:created>
  <dcterms:modified xsi:type="dcterms:W3CDTF">2026-09-25T22:19:00Z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